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AC7" w:rsidRPr="00DF4508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DF4508">
        <w:rPr>
          <w:rFonts w:ascii="Bookman Old Style" w:hAnsi="Bookman Old Style"/>
          <w:b/>
          <w:sz w:val="24"/>
          <w:szCs w:val="24"/>
        </w:rPr>
        <w:t xml:space="preserve">LEI Nº. </w:t>
      </w:r>
      <w:r w:rsidR="00D81E53">
        <w:rPr>
          <w:rFonts w:ascii="Bookman Old Style" w:hAnsi="Bookman Old Style"/>
          <w:b/>
          <w:sz w:val="24"/>
          <w:szCs w:val="24"/>
        </w:rPr>
        <w:t>1.0</w:t>
      </w:r>
      <w:r w:rsidR="00AF3595">
        <w:rPr>
          <w:rFonts w:ascii="Bookman Old Style" w:hAnsi="Bookman Old Style"/>
          <w:b/>
          <w:sz w:val="24"/>
          <w:szCs w:val="24"/>
        </w:rPr>
        <w:t>05</w:t>
      </w:r>
      <w:r w:rsidRPr="00DF4508">
        <w:rPr>
          <w:rFonts w:ascii="Bookman Old Style" w:hAnsi="Bookman Old Style"/>
          <w:b/>
          <w:sz w:val="24"/>
          <w:szCs w:val="24"/>
        </w:rPr>
        <w:t xml:space="preserve">, DE </w:t>
      </w:r>
      <w:r w:rsidR="00D81E53">
        <w:rPr>
          <w:rFonts w:ascii="Bookman Old Style" w:hAnsi="Bookman Old Style"/>
          <w:b/>
          <w:sz w:val="24"/>
          <w:szCs w:val="24"/>
        </w:rPr>
        <w:t xml:space="preserve">04 DE ABRIL </w:t>
      </w:r>
      <w:r w:rsidRPr="00DF4508">
        <w:rPr>
          <w:rFonts w:ascii="Bookman Old Style" w:hAnsi="Bookman Old Style"/>
          <w:b/>
          <w:sz w:val="24"/>
          <w:szCs w:val="24"/>
        </w:rPr>
        <w:t>DE 2019.</w:t>
      </w:r>
    </w:p>
    <w:p w:rsidR="00AD6AC7" w:rsidRPr="00DF4508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DF4508" w:rsidRDefault="002C596D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DF4508">
        <w:rPr>
          <w:rFonts w:ascii="Bookman Old Style" w:hAnsi="Bookman Old Style"/>
          <w:b/>
          <w:sz w:val="24"/>
          <w:szCs w:val="24"/>
        </w:rPr>
        <w:t>AUTORIZA A CONCESSÃO DE USO DE BEM PÚBLICO MUNICIPAL</w:t>
      </w:r>
      <w:r w:rsidR="001D4282">
        <w:rPr>
          <w:rFonts w:ascii="Bookman Old Style" w:hAnsi="Bookman Old Style"/>
          <w:b/>
          <w:sz w:val="24"/>
          <w:szCs w:val="24"/>
        </w:rPr>
        <w:t>, MEDIANTE TERMO DE CESSÃO DE USO</w:t>
      </w:r>
      <w:r w:rsidR="00AD6AC7" w:rsidRPr="00DF4508">
        <w:rPr>
          <w:rFonts w:ascii="Bookman Old Style" w:hAnsi="Bookman Old Style"/>
          <w:b/>
          <w:sz w:val="24"/>
          <w:szCs w:val="24"/>
        </w:rPr>
        <w:t xml:space="preserve"> E DÁ OUTRAS PROVIDÊNCIAS.</w:t>
      </w:r>
    </w:p>
    <w:p w:rsidR="00AD6AC7" w:rsidRPr="00DF4508" w:rsidRDefault="00AD6AC7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DF4508" w:rsidRDefault="00AD6AC7" w:rsidP="004D6876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AD6AC7" w:rsidRPr="00DF4508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DF4508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DF4508">
        <w:rPr>
          <w:rFonts w:ascii="Bookman Old Style" w:hAnsi="Bookman Old Style"/>
          <w:b/>
          <w:sz w:val="24"/>
          <w:szCs w:val="24"/>
        </w:rPr>
        <w:t>ADRIANO CARVALH</w:t>
      </w:r>
      <w:r w:rsidR="003F7D41">
        <w:rPr>
          <w:rFonts w:ascii="Bookman Old Style" w:hAnsi="Bookman Old Style"/>
          <w:b/>
          <w:sz w:val="24"/>
          <w:szCs w:val="24"/>
        </w:rPr>
        <w:t>A</w:t>
      </w:r>
      <w:bookmarkStart w:id="0" w:name="_GoBack"/>
      <w:bookmarkEnd w:id="0"/>
      <w:r w:rsidRPr="00DF4508">
        <w:rPr>
          <w:rFonts w:ascii="Bookman Old Style" w:hAnsi="Bookman Old Style"/>
          <w:b/>
          <w:sz w:val="24"/>
          <w:szCs w:val="24"/>
        </w:rPr>
        <w:t>ES GRAVINA</w:t>
      </w:r>
      <w:r w:rsidRPr="00DF4508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DF4508">
        <w:rPr>
          <w:rFonts w:ascii="Bookman Old Style" w:hAnsi="Bookman Old Style"/>
          <w:b/>
          <w:sz w:val="24"/>
          <w:szCs w:val="24"/>
        </w:rPr>
        <w:t>FAZ SABER</w:t>
      </w:r>
      <w:r w:rsidRPr="00DF4508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DF4508">
        <w:rPr>
          <w:rFonts w:ascii="Bookman Old Style" w:hAnsi="Bookman Old Style"/>
          <w:b/>
          <w:sz w:val="24"/>
          <w:szCs w:val="24"/>
        </w:rPr>
        <w:t>ELE</w:t>
      </w:r>
      <w:r w:rsidRPr="00DF4508">
        <w:rPr>
          <w:rFonts w:ascii="Bookman Old Style" w:hAnsi="Bookman Old Style"/>
          <w:sz w:val="24"/>
          <w:szCs w:val="24"/>
        </w:rPr>
        <w:t>, sancion</w:t>
      </w:r>
      <w:r w:rsidR="002C596D" w:rsidRPr="00DF4508">
        <w:rPr>
          <w:rFonts w:ascii="Bookman Old Style" w:hAnsi="Bookman Old Style"/>
          <w:sz w:val="24"/>
          <w:szCs w:val="24"/>
        </w:rPr>
        <w:t>a</w:t>
      </w:r>
      <w:r w:rsidRPr="00DF4508">
        <w:rPr>
          <w:rFonts w:ascii="Bookman Old Style" w:hAnsi="Bookman Old Style"/>
          <w:sz w:val="24"/>
          <w:szCs w:val="24"/>
        </w:rPr>
        <w:t xml:space="preserve"> a Seguinte Lei:</w:t>
      </w:r>
    </w:p>
    <w:p w:rsidR="00AD6AC7" w:rsidRPr="00DF4508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00D63" w:rsidRPr="00DF4508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DF4508">
        <w:rPr>
          <w:rFonts w:ascii="Bookman Old Style" w:hAnsi="Bookman Old Style"/>
          <w:b/>
          <w:sz w:val="24"/>
          <w:szCs w:val="24"/>
        </w:rPr>
        <w:t>Art</w:t>
      </w:r>
      <w:r w:rsidR="00BE3475" w:rsidRPr="00DF4508">
        <w:rPr>
          <w:rFonts w:ascii="Bookman Old Style" w:hAnsi="Bookman Old Style"/>
          <w:b/>
          <w:sz w:val="24"/>
          <w:szCs w:val="24"/>
        </w:rPr>
        <w:t>igo</w:t>
      </w:r>
      <w:r w:rsidRPr="00DF4508">
        <w:rPr>
          <w:rFonts w:ascii="Bookman Old Style" w:hAnsi="Bookman Old Style"/>
          <w:b/>
          <w:sz w:val="24"/>
          <w:szCs w:val="24"/>
        </w:rPr>
        <w:t xml:space="preserve"> 1º -</w:t>
      </w:r>
      <w:r w:rsidRPr="00DF4508">
        <w:rPr>
          <w:rFonts w:ascii="Bookman Old Style" w:hAnsi="Bookman Old Style"/>
          <w:sz w:val="24"/>
          <w:szCs w:val="24"/>
        </w:rPr>
        <w:t xml:space="preserve"> Fica o Poder Executivo Municipal </w:t>
      </w:r>
      <w:r w:rsidR="00BE3475" w:rsidRPr="00DF4508">
        <w:rPr>
          <w:rFonts w:ascii="Bookman Old Style" w:hAnsi="Bookman Old Style"/>
          <w:sz w:val="24"/>
          <w:szCs w:val="24"/>
        </w:rPr>
        <w:t xml:space="preserve">autorizado a </w:t>
      </w:r>
      <w:r w:rsidR="00600D63" w:rsidRPr="00DF4508">
        <w:rPr>
          <w:rFonts w:ascii="Bookman Old Style" w:hAnsi="Bookman Old Style"/>
          <w:sz w:val="24"/>
          <w:szCs w:val="24"/>
        </w:rPr>
        <w:t xml:space="preserve">conceder o uso do imóvel </w:t>
      </w:r>
      <w:r w:rsidR="002C596D" w:rsidRPr="00DF4508">
        <w:rPr>
          <w:rFonts w:ascii="Bookman Old Style" w:hAnsi="Bookman Old Style"/>
          <w:sz w:val="24"/>
          <w:szCs w:val="24"/>
        </w:rPr>
        <w:t>a seguir especificado</w:t>
      </w:r>
      <w:r w:rsidR="001D4282">
        <w:rPr>
          <w:rFonts w:ascii="Bookman Old Style" w:hAnsi="Bookman Old Style"/>
          <w:sz w:val="24"/>
          <w:szCs w:val="24"/>
        </w:rPr>
        <w:t>, mediante termo de cessão,</w:t>
      </w:r>
      <w:r w:rsidR="00600D63" w:rsidRPr="00DF4508">
        <w:rPr>
          <w:rFonts w:ascii="Bookman Old Style" w:hAnsi="Bookman Old Style"/>
          <w:sz w:val="24"/>
          <w:szCs w:val="24"/>
        </w:rPr>
        <w:t xml:space="preserve"> à AS</w:t>
      </w:r>
      <w:r w:rsidR="001141EF">
        <w:rPr>
          <w:rFonts w:ascii="Bookman Old Style" w:hAnsi="Bookman Old Style"/>
          <w:sz w:val="24"/>
          <w:szCs w:val="24"/>
        </w:rPr>
        <w:t>S</w:t>
      </w:r>
      <w:r w:rsidR="00600D63" w:rsidRPr="00DF4508">
        <w:rPr>
          <w:rFonts w:ascii="Bookman Old Style" w:hAnsi="Bookman Old Style"/>
          <w:sz w:val="24"/>
          <w:szCs w:val="24"/>
        </w:rPr>
        <w:t>OCIAÇÃO CASA BOM SAMARITANO DE PIRAUBA – ACBS,</w:t>
      </w:r>
      <w:r w:rsidR="001D4282">
        <w:rPr>
          <w:rFonts w:ascii="Bookman Old Style" w:hAnsi="Bookman Old Style"/>
          <w:sz w:val="24"/>
          <w:szCs w:val="24"/>
        </w:rPr>
        <w:t xml:space="preserve"> </w:t>
      </w:r>
      <w:r w:rsidR="00600D63" w:rsidRPr="00DF4508">
        <w:rPr>
          <w:rFonts w:ascii="Bookman Old Style" w:hAnsi="Bookman Old Style"/>
          <w:sz w:val="24"/>
          <w:szCs w:val="24"/>
        </w:rPr>
        <w:t xml:space="preserve">que possui caráter beneficente, de assistência social, cultural, de atendimento, de defesa e garantia de direitos, esporte, cultura, lazer, estudo, pesquisa, acolhimento e acompanhamento de dependentes químicos e a pessoas com transtornos mentais: </w:t>
      </w:r>
      <w:r w:rsidR="00600D63" w:rsidRPr="00DF4508">
        <w:rPr>
          <w:rFonts w:ascii="Bookman Old Style" w:hAnsi="Bookman Old Style"/>
          <w:b/>
          <w:sz w:val="24"/>
          <w:szCs w:val="24"/>
        </w:rPr>
        <w:t>uma área de 50X40, equivalente a 2.000,00 m</w:t>
      </w:r>
      <w:r w:rsidR="00600D63" w:rsidRPr="00DF4508">
        <w:rPr>
          <w:rFonts w:ascii="Bookman Old Style" w:hAnsi="Bookman Old Style"/>
          <w:b/>
          <w:sz w:val="24"/>
          <w:szCs w:val="24"/>
          <w:vertAlign w:val="superscript"/>
        </w:rPr>
        <w:t>2</w:t>
      </w:r>
      <w:r w:rsidR="00600D63" w:rsidRPr="00DF4508">
        <w:rPr>
          <w:rFonts w:ascii="Bookman Old Style" w:hAnsi="Bookman Old Style"/>
          <w:sz w:val="24"/>
          <w:szCs w:val="24"/>
        </w:rPr>
        <w:t xml:space="preserve"> </w:t>
      </w:r>
      <w:r w:rsidR="00600D63" w:rsidRPr="00DF4508">
        <w:rPr>
          <w:rFonts w:ascii="Bookman Old Style" w:hAnsi="Bookman Old Style"/>
          <w:b/>
          <w:sz w:val="24"/>
          <w:szCs w:val="24"/>
        </w:rPr>
        <w:t xml:space="preserve">(dois mil metros quadrados), confrontando com a referida área em sua totalidade com Antônio Alves de Abreu por seus diferentes </w:t>
      </w:r>
      <w:r w:rsidR="00DF4508" w:rsidRPr="00DF4508">
        <w:rPr>
          <w:rFonts w:ascii="Bookman Old Style" w:hAnsi="Bookman Old Style"/>
          <w:b/>
          <w:sz w:val="24"/>
          <w:szCs w:val="24"/>
        </w:rPr>
        <w:t>lados, existindo, na mesma área, um prédio escolar</w:t>
      </w:r>
      <w:r w:rsidR="001141EF">
        <w:rPr>
          <w:rFonts w:ascii="Bookman Old Style" w:hAnsi="Bookman Old Style"/>
          <w:b/>
          <w:sz w:val="24"/>
          <w:szCs w:val="24"/>
        </w:rPr>
        <w:t>, denominado Escola Estadual João Gonçalve</w:t>
      </w:r>
      <w:r w:rsidR="005511A9">
        <w:rPr>
          <w:rFonts w:ascii="Bookman Old Style" w:hAnsi="Bookman Old Style"/>
          <w:b/>
          <w:sz w:val="24"/>
          <w:szCs w:val="24"/>
        </w:rPr>
        <w:t>s Vieira</w:t>
      </w:r>
      <w:r w:rsidR="00DB7AF6">
        <w:rPr>
          <w:rFonts w:ascii="Bookman Old Style" w:hAnsi="Bookman Old Style"/>
          <w:b/>
          <w:sz w:val="24"/>
          <w:szCs w:val="24"/>
        </w:rPr>
        <w:t xml:space="preserve"> e a Escola da Vargem Grande,</w:t>
      </w:r>
      <w:r w:rsidR="001141EF">
        <w:rPr>
          <w:rFonts w:ascii="Bookman Old Style" w:hAnsi="Bookman Old Style"/>
          <w:b/>
          <w:sz w:val="24"/>
          <w:szCs w:val="24"/>
        </w:rPr>
        <w:t xml:space="preserve"> registrada no Cartório do Registro de Imóveis da Comarca de Guarani/MG</w:t>
      </w:r>
      <w:r w:rsidR="009943FB">
        <w:rPr>
          <w:rFonts w:ascii="Bookman Old Style" w:hAnsi="Bookman Old Style"/>
          <w:b/>
          <w:sz w:val="24"/>
          <w:szCs w:val="24"/>
        </w:rPr>
        <w:t>, sob a matrícula 10486, livro 2 RG.</w:t>
      </w:r>
    </w:p>
    <w:p w:rsidR="00DF4508" w:rsidRPr="00DF4508" w:rsidRDefault="00DF4508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DF4508" w:rsidRPr="00DF4508" w:rsidRDefault="00DF4508" w:rsidP="00DF4508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 w:rsidRPr="00DF4508">
        <w:rPr>
          <w:rFonts w:ascii="Bookman Old Style" w:hAnsi="Bookman Old Style"/>
          <w:b/>
          <w:sz w:val="24"/>
          <w:szCs w:val="24"/>
        </w:rPr>
        <w:t xml:space="preserve">Artigo 2º - </w:t>
      </w:r>
      <w:r w:rsidRPr="00DF4508">
        <w:rPr>
          <w:rFonts w:ascii="Bookman Old Style" w:hAnsi="Bookman Old Style" w:cs="Arial"/>
          <w:sz w:val="24"/>
          <w:szCs w:val="24"/>
          <w:shd w:val="clear" w:color="auto" w:fill="FFFFFF"/>
        </w:rPr>
        <w:t>A concessão de uso será gratuita e com prazo de 10 (dez) anos, e será prorrogada por igual período se a finalidade da concessão estabelecida no art. 1.º desta Lei estiver sendo cumprida.</w:t>
      </w:r>
    </w:p>
    <w:p w:rsidR="00DF4508" w:rsidRPr="00DF4508" w:rsidRDefault="00DF4508" w:rsidP="00DF4508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:rsidR="00DF4508" w:rsidRDefault="00DF4508" w:rsidP="00DF4508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 w:rsidRPr="00DF4508">
        <w:rPr>
          <w:rFonts w:ascii="Bookman Old Style" w:hAnsi="Bookman Old Style" w:cs="Segoe UI"/>
          <w:b/>
          <w:sz w:val="24"/>
          <w:szCs w:val="24"/>
          <w:shd w:val="clear" w:color="auto" w:fill="FBFBFB"/>
        </w:rPr>
        <w:t>Parágrafo único</w:t>
      </w:r>
      <w:r>
        <w:rPr>
          <w:rFonts w:ascii="Bookman Old Style" w:hAnsi="Bookman Old Style" w:cs="Segoe UI"/>
          <w:b/>
          <w:sz w:val="24"/>
          <w:szCs w:val="24"/>
          <w:shd w:val="clear" w:color="auto" w:fill="FBFBFB"/>
        </w:rPr>
        <w:t xml:space="preserve"> -</w:t>
      </w:r>
      <w:r w:rsidRPr="00DF4508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O bem objeto desta cessão de uso deve ficar sob a guarda e a responsabilidade da concessionária, competindo-lhe o gerenciamento técnico, administrativo e financeiro, não sendo permitido o uso ou exploração por qualquer outra entidade, de forma parcial ou total a terceiros, a qualquer título.</w:t>
      </w:r>
    </w:p>
    <w:p w:rsidR="002A3FFD" w:rsidRPr="00DF4508" w:rsidRDefault="002A3FFD" w:rsidP="00DF4508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:rsidR="00DF4508" w:rsidRPr="00DF4508" w:rsidRDefault="00DF4508" w:rsidP="00DF4508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 w:rsidRPr="00DF4508">
        <w:rPr>
          <w:rFonts w:ascii="Bookman Old Style" w:hAnsi="Bookman Old Style" w:cs="Arial"/>
          <w:b/>
          <w:sz w:val="24"/>
          <w:szCs w:val="24"/>
          <w:shd w:val="clear" w:color="auto" w:fill="FFFFFF"/>
        </w:rPr>
        <w:t xml:space="preserve">Artigo 3º - </w:t>
      </w:r>
      <w:r w:rsidRPr="00DF4508">
        <w:rPr>
          <w:rFonts w:ascii="Bookman Old Style" w:hAnsi="Bookman Old Style" w:cs="Arial"/>
          <w:sz w:val="24"/>
          <w:szCs w:val="24"/>
        </w:rPr>
        <w:t>A concessionária poderá realizar no imóvel as obras e melhorias necessárias ao cumprimento da finalidade desta concessão de uso, sempre mediante prévia anuência do Município.</w:t>
      </w:r>
    </w:p>
    <w:p w:rsidR="00DF4508" w:rsidRPr="001A5656" w:rsidRDefault="00DF4508" w:rsidP="00DF4508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1A5656" w:rsidRDefault="00DF4508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  <w:shd w:val="clear" w:color="auto" w:fill="FBFBFB"/>
        </w:rPr>
      </w:pPr>
      <w:r w:rsidRPr="001A5656">
        <w:rPr>
          <w:rFonts w:ascii="Bookman Old Style" w:hAnsi="Bookman Old Style" w:cs="Arial"/>
          <w:b/>
          <w:sz w:val="24"/>
          <w:szCs w:val="24"/>
        </w:rPr>
        <w:t>§</w:t>
      </w:r>
      <w:r w:rsidRPr="001A5656">
        <w:rPr>
          <w:rFonts w:ascii="Bookman Old Style" w:eastAsia="Times New Roman" w:hAnsi="Bookman Old Style" w:cs="Arial"/>
          <w:b/>
          <w:bCs/>
          <w:sz w:val="24"/>
          <w:szCs w:val="24"/>
        </w:rPr>
        <w:t>1º -</w:t>
      </w:r>
      <w:r w:rsidRPr="00DF4508">
        <w:rPr>
          <w:rFonts w:ascii="Bookman Old Style" w:eastAsia="Times New Roman" w:hAnsi="Bookman Old Style" w:cs="Arial"/>
          <w:sz w:val="24"/>
          <w:szCs w:val="24"/>
        </w:rPr>
        <w:t> </w:t>
      </w:r>
      <w:r w:rsidR="001A5656"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>O Poder Executivo promoverá o inventário e avaliação do be</w:t>
      </w:r>
      <w:r w:rsidR="001A5656">
        <w:rPr>
          <w:rFonts w:ascii="Bookman Old Style" w:hAnsi="Bookman Old Style" w:cs="Segoe UI"/>
          <w:sz w:val="24"/>
          <w:szCs w:val="24"/>
          <w:shd w:val="clear" w:color="auto" w:fill="FBFBFB"/>
        </w:rPr>
        <w:t>m</w:t>
      </w:r>
      <w:r w:rsidR="001A5656"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referido no art.1º desta Lei, anteriormente à formalização do contrato de c</w:t>
      </w:r>
      <w:r w:rsidR="001D4282">
        <w:rPr>
          <w:rFonts w:ascii="Bookman Old Style" w:hAnsi="Bookman Old Style" w:cs="Segoe UI"/>
          <w:sz w:val="24"/>
          <w:szCs w:val="24"/>
          <w:shd w:val="clear" w:color="auto" w:fill="FBFBFB"/>
        </w:rPr>
        <w:t>essão</w:t>
      </w:r>
      <w:r w:rsidR="001A5656"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de uso. </w:t>
      </w:r>
    </w:p>
    <w:p w:rsidR="00DF4508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  <w:shd w:val="clear" w:color="auto" w:fill="FBFBFB"/>
        </w:rPr>
      </w:pPr>
      <w:r w:rsidRPr="001A5656">
        <w:rPr>
          <w:rFonts w:ascii="Bookman Old Style" w:eastAsia="Times New Roman" w:hAnsi="Bookman Old Style" w:cs="Arial"/>
          <w:b/>
          <w:sz w:val="24"/>
          <w:szCs w:val="24"/>
        </w:rPr>
        <w:lastRenderedPageBreak/>
        <w:t>§ 2º -</w:t>
      </w:r>
      <w:r w:rsidRPr="001A5656">
        <w:rPr>
          <w:rFonts w:ascii="Bookman Old Style" w:eastAsia="Times New Roman" w:hAnsi="Bookman Old Style" w:cs="Arial"/>
          <w:sz w:val="24"/>
          <w:szCs w:val="24"/>
        </w:rPr>
        <w:t xml:space="preserve"> </w:t>
      </w: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>As despesas com manutenção e conservação do bem correrão por conta da concessionária, não cabendo qualquer indenização ou compensação quando, por qualquer motivo, ocorrer o término da cessão. </w:t>
      </w:r>
    </w:p>
    <w:p w:rsidR="001D4282" w:rsidRPr="001A5656" w:rsidRDefault="001D4282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  <w:shd w:val="clear" w:color="auto" w:fill="FBFBFB"/>
        </w:rPr>
      </w:pPr>
    </w:p>
    <w:p w:rsidR="00DF4508" w:rsidRP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  <w:shd w:val="clear" w:color="auto" w:fill="FBFBFB"/>
        </w:rPr>
      </w:pPr>
      <w:r w:rsidRPr="001A5656">
        <w:rPr>
          <w:rFonts w:ascii="Bookman Old Style" w:eastAsia="Times New Roman" w:hAnsi="Bookman Old Style" w:cs="Arial"/>
          <w:b/>
          <w:bCs/>
          <w:sz w:val="24"/>
          <w:szCs w:val="24"/>
        </w:rPr>
        <w:t>§3</w:t>
      </w:r>
      <w:r w:rsidR="00DF4508" w:rsidRPr="001A5656">
        <w:rPr>
          <w:rFonts w:ascii="Bookman Old Style" w:eastAsia="Times New Roman" w:hAnsi="Bookman Old Style" w:cs="Arial"/>
          <w:b/>
          <w:bCs/>
          <w:sz w:val="24"/>
          <w:szCs w:val="24"/>
        </w:rPr>
        <w:t>º -</w:t>
      </w:r>
      <w:r w:rsidR="00DF4508" w:rsidRPr="00DF4508">
        <w:rPr>
          <w:rFonts w:ascii="Bookman Old Style" w:eastAsia="Times New Roman" w:hAnsi="Bookman Old Style" w:cs="Arial"/>
          <w:sz w:val="24"/>
          <w:szCs w:val="24"/>
        </w:rPr>
        <w:t> </w:t>
      </w: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Findo o prazo da concessão, o imóvel com suas respectivas instalações, equipamentos, instrumentos e mobiliário retornará ao município de </w:t>
      </w:r>
      <w:r w:rsidR="001D4282">
        <w:rPr>
          <w:rFonts w:ascii="Bookman Old Style" w:hAnsi="Bookman Old Style" w:cs="Segoe UI"/>
          <w:sz w:val="24"/>
          <w:szCs w:val="24"/>
          <w:shd w:val="clear" w:color="auto" w:fill="FBFBFB"/>
        </w:rPr>
        <w:t>Piraúba</w:t>
      </w: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>, sem que caiba a concessionária qualquer direito a retenção de benfeitorias e a eventuais indenizações.</w:t>
      </w:r>
    </w:p>
    <w:p w:rsidR="001A5656" w:rsidRP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  <w:shd w:val="clear" w:color="auto" w:fill="FBFBFB"/>
        </w:rPr>
      </w:pPr>
    </w:p>
    <w:p w:rsid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  <w:shd w:val="clear" w:color="auto" w:fill="FBFBFB"/>
        </w:rPr>
      </w:pPr>
      <w:r w:rsidRPr="001A5656">
        <w:rPr>
          <w:rFonts w:ascii="Bookman Old Style" w:hAnsi="Bookman Old Style" w:cs="Segoe UI"/>
          <w:b/>
          <w:sz w:val="24"/>
          <w:szCs w:val="24"/>
          <w:shd w:val="clear" w:color="auto" w:fill="FBFBFB"/>
        </w:rPr>
        <w:t xml:space="preserve">Artigo 4º - </w:t>
      </w: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>A concessão de uso será extinta, retornando o bem imediatamente à posse do município, independente de notificação e sem direito à indenização quando:</w:t>
      </w:r>
    </w:p>
    <w:p w:rsid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  <w:shd w:val="clear" w:color="auto" w:fill="FBFBFB"/>
        </w:rPr>
      </w:pPr>
    </w:p>
    <w:p w:rsid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</w:rPr>
      </w:pP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>I – a cessionária não utilizar o bem para a finalidade constante desta Lei, dando destinação diversa;</w:t>
      </w:r>
    </w:p>
    <w:p w:rsid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</w:rPr>
      </w:pP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>II – ocorrer o término do prazo de concessão previsto no contrato e não houver vontade entre as partes na renovação.</w:t>
      </w:r>
    </w:p>
    <w:p w:rsid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</w:rPr>
      </w:pPr>
    </w:p>
    <w:p w:rsid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</w:rPr>
      </w:pPr>
      <w:r w:rsidRPr="001A5656">
        <w:rPr>
          <w:rFonts w:ascii="Bookman Old Style" w:hAnsi="Bookman Old Style" w:cs="Segoe UI"/>
          <w:b/>
          <w:sz w:val="24"/>
          <w:szCs w:val="24"/>
          <w:shd w:val="clear" w:color="auto" w:fill="FBFBFB"/>
        </w:rPr>
        <w:t>Artigo 5º -</w:t>
      </w:r>
      <w:r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</w:t>
      </w: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>São obrigações da concessionária:</w:t>
      </w:r>
    </w:p>
    <w:p w:rsid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</w:rPr>
      </w:pPr>
    </w:p>
    <w:p w:rsid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</w:rPr>
      </w:pP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>I – manter o prédio e equipamentos recebidos em bom estado de uso e conservação e devolvê-lo nas mesmas condições quando do término da cessão, respondendo por eventuais danos e perdas;</w:t>
      </w:r>
    </w:p>
    <w:p w:rsid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</w:rPr>
      </w:pPr>
      <w:r>
        <w:rPr>
          <w:rFonts w:ascii="Bookman Old Style" w:hAnsi="Bookman Old Style" w:cs="Segoe UI"/>
          <w:sz w:val="24"/>
          <w:szCs w:val="24"/>
          <w:shd w:val="clear" w:color="auto" w:fill="FBFBFB"/>
        </w:rPr>
        <w:t>II</w:t>
      </w: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– responder por eventuais danos causados a terceiros em</w:t>
      </w:r>
      <w:r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decorrência de uso irregular do bem concedido;</w:t>
      </w:r>
    </w:p>
    <w:p w:rsidR="001A5656" w:rsidRDefault="001A5656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</w:rPr>
      </w:pP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>I</w:t>
      </w:r>
      <w:r>
        <w:rPr>
          <w:rFonts w:ascii="Bookman Old Style" w:hAnsi="Bookman Old Style" w:cs="Segoe UI"/>
          <w:sz w:val="24"/>
          <w:szCs w:val="24"/>
          <w:shd w:val="clear" w:color="auto" w:fill="FBFBFB"/>
        </w:rPr>
        <w:t>II</w:t>
      </w: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– responder administrativamente e judicialmente por quaisquer e eventuais danos causados a pacientes, prestadores e serviços, fornecedores e funcionários contratados;</w:t>
      </w:r>
    </w:p>
    <w:p w:rsidR="001141EF" w:rsidRDefault="001141EF" w:rsidP="00DF4508">
      <w:pPr>
        <w:spacing w:after="0" w:line="240" w:lineRule="auto"/>
        <w:jc w:val="both"/>
        <w:rPr>
          <w:rFonts w:ascii="Bookman Old Style" w:hAnsi="Bookman Old Style" w:cs="Segoe UI"/>
          <w:sz w:val="24"/>
          <w:szCs w:val="24"/>
          <w:shd w:val="clear" w:color="auto" w:fill="FBFBFB"/>
        </w:rPr>
      </w:pPr>
      <w:r>
        <w:rPr>
          <w:rFonts w:ascii="Bookman Old Style" w:hAnsi="Bookman Old Style" w:cs="Segoe UI"/>
          <w:sz w:val="24"/>
          <w:szCs w:val="24"/>
          <w:shd w:val="clear" w:color="auto" w:fill="FBFBFB"/>
        </w:rPr>
        <w:t>IV – Responder por todos os</w:t>
      </w:r>
      <w:r w:rsidR="001A5656"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encargos trabalhistas e sociais de funcionários contratados para trabalhar </w:t>
      </w:r>
      <w:r>
        <w:rPr>
          <w:rFonts w:ascii="Bookman Old Style" w:hAnsi="Bookman Old Style" w:cs="Segoe UI"/>
          <w:sz w:val="24"/>
          <w:szCs w:val="24"/>
          <w:shd w:val="clear" w:color="auto" w:fill="FBFBFB"/>
        </w:rPr>
        <w:t>para a Associação Casa Bom Samaritano de Piraúba - ACBS</w:t>
      </w:r>
      <w:r w:rsidR="001A5656"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>;</w:t>
      </w:r>
    </w:p>
    <w:p w:rsidR="00DF4508" w:rsidRDefault="001A5656" w:rsidP="001141EF">
      <w:pPr>
        <w:spacing w:after="0" w:line="240" w:lineRule="auto"/>
        <w:jc w:val="both"/>
        <w:rPr>
          <w:rFonts w:ascii="Bookman Old Style" w:eastAsia="Times New Roman" w:hAnsi="Bookman Old Style" w:cs="Arial"/>
          <w:b/>
          <w:sz w:val="24"/>
          <w:szCs w:val="24"/>
        </w:rPr>
      </w:pP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V – atuar sob a fiscalização </w:t>
      </w:r>
      <w:r w:rsidR="001141EF">
        <w:rPr>
          <w:rFonts w:ascii="Bookman Old Style" w:hAnsi="Bookman Old Style" w:cs="Segoe UI"/>
          <w:sz w:val="24"/>
          <w:szCs w:val="24"/>
          <w:shd w:val="clear" w:color="auto" w:fill="FBFBFB"/>
        </w:rPr>
        <w:t>da</w:t>
      </w: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Secretaria de Saúde</w:t>
      </w:r>
      <w:r w:rsidR="001141EF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e Secretaria Municipal de Assistência Social</w:t>
      </w:r>
      <w:r w:rsidRPr="001A5656">
        <w:rPr>
          <w:rFonts w:ascii="Bookman Old Style" w:hAnsi="Bookman Old Style" w:cs="Segoe UI"/>
          <w:sz w:val="24"/>
          <w:szCs w:val="24"/>
          <w:shd w:val="clear" w:color="auto" w:fill="FBFBFB"/>
        </w:rPr>
        <w:t xml:space="preserve"> do Município.</w:t>
      </w:r>
    </w:p>
    <w:p w:rsidR="001141EF" w:rsidRDefault="001141EF" w:rsidP="001141EF">
      <w:pPr>
        <w:spacing w:after="0" w:line="240" w:lineRule="auto"/>
        <w:jc w:val="both"/>
        <w:rPr>
          <w:rFonts w:ascii="Bookman Old Style" w:eastAsia="Times New Roman" w:hAnsi="Bookman Old Style" w:cs="Arial"/>
          <w:b/>
          <w:sz w:val="24"/>
          <w:szCs w:val="24"/>
        </w:rPr>
      </w:pPr>
    </w:p>
    <w:p w:rsidR="001141EF" w:rsidRPr="001141EF" w:rsidRDefault="001141EF" w:rsidP="001141EF">
      <w:pPr>
        <w:spacing w:after="0" w:line="240" w:lineRule="auto"/>
        <w:jc w:val="both"/>
        <w:rPr>
          <w:rFonts w:ascii="Bookman Old Style" w:eastAsia="Times New Roman" w:hAnsi="Bookman Old Style" w:cs="Arial"/>
          <w:sz w:val="24"/>
          <w:szCs w:val="24"/>
        </w:rPr>
      </w:pPr>
      <w:r>
        <w:rPr>
          <w:rFonts w:ascii="Bookman Old Style" w:eastAsia="Times New Roman" w:hAnsi="Bookman Old Style" w:cs="Arial"/>
          <w:b/>
          <w:sz w:val="24"/>
          <w:szCs w:val="24"/>
        </w:rPr>
        <w:t xml:space="preserve">Artigo 6º - </w:t>
      </w:r>
      <w:r>
        <w:rPr>
          <w:rFonts w:ascii="Bookman Old Style" w:eastAsia="Times New Roman" w:hAnsi="Bookman Old Style" w:cs="Arial"/>
          <w:sz w:val="24"/>
          <w:szCs w:val="24"/>
        </w:rPr>
        <w:t>As demais normas e condições desta concessão de uso serão estabelecidas n</w:t>
      </w:r>
      <w:r w:rsidR="001D4282">
        <w:rPr>
          <w:rFonts w:ascii="Bookman Old Style" w:eastAsia="Times New Roman" w:hAnsi="Bookman Old Style" w:cs="Arial"/>
          <w:sz w:val="24"/>
          <w:szCs w:val="24"/>
        </w:rPr>
        <w:t>o</w:t>
      </w:r>
      <w:r>
        <w:rPr>
          <w:rFonts w:ascii="Bookman Old Style" w:eastAsia="Times New Roman" w:hAnsi="Bookman Old Style" w:cs="Arial"/>
          <w:sz w:val="24"/>
          <w:szCs w:val="24"/>
        </w:rPr>
        <w:t xml:space="preserve"> Termo de </w:t>
      </w:r>
      <w:r w:rsidR="001D4282">
        <w:rPr>
          <w:rFonts w:ascii="Bookman Old Style" w:eastAsia="Times New Roman" w:hAnsi="Bookman Old Style" w:cs="Arial"/>
          <w:sz w:val="24"/>
          <w:szCs w:val="24"/>
        </w:rPr>
        <w:t>Cessão</w:t>
      </w:r>
      <w:r>
        <w:rPr>
          <w:rFonts w:ascii="Bookman Old Style" w:eastAsia="Times New Roman" w:hAnsi="Bookman Old Style" w:cs="Arial"/>
          <w:sz w:val="24"/>
          <w:szCs w:val="24"/>
        </w:rPr>
        <w:t xml:space="preserve"> de Bem Imóvel.</w:t>
      </w:r>
    </w:p>
    <w:p w:rsidR="004F3EFF" w:rsidRPr="00DF4508" w:rsidRDefault="004F3EFF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AD6AC7" w:rsidRPr="00DF4508" w:rsidRDefault="001141EF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Artigo 7</w:t>
      </w:r>
      <w:r w:rsidR="004F3EFF" w:rsidRPr="00DF4508">
        <w:rPr>
          <w:rFonts w:ascii="Bookman Old Style" w:hAnsi="Bookman Old Style"/>
          <w:b/>
          <w:sz w:val="24"/>
          <w:szCs w:val="24"/>
        </w:rPr>
        <w:t xml:space="preserve">º - </w:t>
      </w:r>
      <w:r w:rsidR="00AD6AC7" w:rsidRPr="00DF4508">
        <w:rPr>
          <w:rFonts w:ascii="Bookman Old Style" w:hAnsi="Bookman Old Style"/>
          <w:sz w:val="24"/>
          <w:szCs w:val="24"/>
        </w:rPr>
        <w:t>Esta Lei entra em vigor na data de sua publicação.</w:t>
      </w:r>
    </w:p>
    <w:p w:rsidR="00AD6AC7" w:rsidRPr="00DF4508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DF4508">
        <w:rPr>
          <w:rFonts w:ascii="Bookman Old Style" w:hAnsi="Bookman Old Style"/>
          <w:sz w:val="24"/>
          <w:szCs w:val="24"/>
        </w:rPr>
        <w:t xml:space="preserve">Piraúba, </w:t>
      </w:r>
      <w:r w:rsidR="00D81E53">
        <w:rPr>
          <w:rFonts w:ascii="Bookman Old Style" w:hAnsi="Bookman Old Style"/>
          <w:sz w:val="24"/>
          <w:szCs w:val="24"/>
        </w:rPr>
        <w:t>04 de abril</w:t>
      </w:r>
      <w:r w:rsidR="00AF3595">
        <w:rPr>
          <w:rFonts w:ascii="Bookman Old Style" w:hAnsi="Bookman Old Style"/>
          <w:sz w:val="24"/>
          <w:szCs w:val="24"/>
        </w:rPr>
        <w:t xml:space="preserve"> </w:t>
      </w:r>
      <w:r w:rsidR="004F3EFF" w:rsidRPr="00DF4508">
        <w:rPr>
          <w:rFonts w:ascii="Bookman Old Style" w:hAnsi="Bookman Old Style"/>
          <w:sz w:val="24"/>
          <w:szCs w:val="24"/>
        </w:rPr>
        <w:t>de 2019</w:t>
      </w:r>
      <w:r w:rsidRPr="00DF4508">
        <w:rPr>
          <w:rFonts w:ascii="Bookman Old Style" w:hAnsi="Bookman Old Style"/>
          <w:sz w:val="24"/>
          <w:szCs w:val="24"/>
        </w:rPr>
        <w:t>.</w:t>
      </w:r>
    </w:p>
    <w:p w:rsidR="00D81E53" w:rsidRPr="00DF4508" w:rsidRDefault="00D81E53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DF4508" w:rsidRDefault="004D6876" w:rsidP="004D6876">
      <w:pPr>
        <w:spacing w:after="0" w:line="240" w:lineRule="auto"/>
        <w:jc w:val="right"/>
        <w:rPr>
          <w:rFonts w:ascii="Bookman Old Style" w:hAnsi="Bookman Old Style"/>
          <w:sz w:val="24"/>
          <w:szCs w:val="24"/>
        </w:rPr>
      </w:pPr>
    </w:p>
    <w:p w:rsidR="004F3EFF" w:rsidRPr="00DF4508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DF4508">
        <w:rPr>
          <w:rFonts w:ascii="Bookman Old Style" w:hAnsi="Bookman Old Style"/>
          <w:b/>
          <w:i/>
          <w:sz w:val="24"/>
          <w:szCs w:val="24"/>
        </w:rPr>
        <w:t>Adriano Carvalhaes Gravina</w:t>
      </w:r>
    </w:p>
    <w:p w:rsidR="004315E0" w:rsidRPr="00DF4508" w:rsidRDefault="00AD6AC7" w:rsidP="00D81E5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DF4508">
        <w:rPr>
          <w:rFonts w:ascii="Bookman Old Style" w:hAnsi="Bookman Old Style"/>
          <w:b/>
          <w:i/>
          <w:sz w:val="24"/>
          <w:szCs w:val="24"/>
        </w:rPr>
        <w:t>Prefeito Municipal</w:t>
      </w:r>
    </w:p>
    <w:sectPr w:rsidR="004315E0" w:rsidRPr="00DF4508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5D1F" w:rsidRDefault="00385D1F">
      <w:pPr>
        <w:spacing w:after="0" w:line="240" w:lineRule="auto"/>
      </w:pPr>
      <w:r>
        <w:separator/>
      </w:r>
    </w:p>
  </w:endnote>
  <w:endnote w:type="continuationSeparator" w:id="0">
    <w:p w:rsidR="00385D1F" w:rsidRDefault="00385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5D1F" w:rsidRDefault="00385D1F">
      <w:pPr>
        <w:spacing w:after="0" w:line="240" w:lineRule="auto"/>
      </w:pPr>
      <w:r>
        <w:separator/>
      </w:r>
    </w:p>
  </w:footnote>
  <w:footnote w:type="continuationSeparator" w:id="0">
    <w:p w:rsidR="00385D1F" w:rsidRDefault="00385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41EF"/>
    <w:rsid w:val="001169F8"/>
    <w:rsid w:val="00120E7B"/>
    <w:rsid w:val="00134C0C"/>
    <w:rsid w:val="001668DB"/>
    <w:rsid w:val="001701A8"/>
    <w:rsid w:val="001A5656"/>
    <w:rsid w:val="001A694F"/>
    <w:rsid w:val="001B481A"/>
    <w:rsid w:val="001D4282"/>
    <w:rsid w:val="001F6A63"/>
    <w:rsid w:val="00266026"/>
    <w:rsid w:val="002833AE"/>
    <w:rsid w:val="002907BC"/>
    <w:rsid w:val="002A3FFD"/>
    <w:rsid w:val="002C596D"/>
    <w:rsid w:val="002E696C"/>
    <w:rsid w:val="003044D5"/>
    <w:rsid w:val="00310963"/>
    <w:rsid w:val="00313BDD"/>
    <w:rsid w:val="003160BE"/>
    <w:rsid w:val="003227A9"/>
    <w:rsid w:val="00375F31"/>
    <w:rsid w:val="00380AF7"/>
    <w:rsid w:val="00385D1F"/>
    <w:rsid w:val="003A463E"/>
    <w:rsid w:val="003B447E"/>
    <w:rsid w:val="003D1352"/>
    <w:rsid w:val="003D60FE"/>
    <w:rsid w:val="003E519A"/>
    <w:rsid w:val="003F5B46"/>
    <w:rsid w:val="003F62D7"/>
    <w:rsid w:val="003F7D41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22F15"/>
    <w:rsid w:val="00530303"/>
    <w:rsid w:val="00543252"/>
    <w:rsid w:val="00546D22"/>
    <w:rsid w:val="005511A9"/>
    <w:rsid w:val="0055184E"/>
    <w:rsid w:val="00553CCB"/>
    <w:rsid w:val="00554577"/>
    <w:rsid w:val="00562160"/>
    <w:rsid w:val="005A1EE4"/>
    <w:rsid w:val="005B4294"/>
    <w:rsid w:val="005B7608"/>
    <w:rsid w:val="005C0E43"/>
    <w:rsid w:val="005D3E64"/>
    <w:rsid w:val="00600D63"/>
    <w:rsid w:val="0068294B"/>
    <w:rsid w:val="006D3129"/>
    <w:rsid w:val="006F611D"/>
    <w:rsid w:val="00705652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377C"/>
    <w:rsid w:val="008F5BF7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C5BE5"/>
    <w:rsid w:val="00D01BA3"/>
    <w:rsid w:val="00D05CFD"/>
    <w:rsid w:val="00D2079A"/>
    <w:rsid w:val="00D61252"/>
    <w:rsid w:val="00D81E53"/>
    <w:rsid w:val="00DA1FC1"/>
    <w:rsid w:val="00DA7FD2"/>
    <w:rsid w:val="00DB7AF6"/>
    <w:rsid w:val="00DD2573"/>
    <w:rsid w:val="00DE023D"/>
    <w:rsid w:val="00DF4508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7DE719D-E82E-47FB-AFEF-998179CCE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5D905-173F-4BC4-9FF7-01822EB38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615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3930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3</cp:revision>
  <cp:lastPrinted>2019-04-04T15:51:00Z</cp:lastPrinted>
  <dcterms:created xsi:type="dcterms:W3CDTF">2019-04-04T15:52:00Z</dcterms:created>
  <dcterms:modified xsi:type="dcterms:W3CDTF">2019-05-14T18:57:00Z</dcterms:modified>
</cp:coreProperties>
</file>